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76F5C50F" w14:textId="77777777" w:rsidTr="0002248A">
        <w:tc>
          <w:tcPr>
            <w:tcW w:w="5704" w:type="dxa"/>
            <w:gridSpan w:val="2"/>
          </w:tcPr>
          <w:p w14:paraId="1E111CBB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187E81C" w14:textId="4CEFECC9" w:rsidR="0029715B" w:rsidRPr="003B6900" w:rsidRDefault="00982013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3167BE2" wp14:editId="4A3ACDA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A4B31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25E03A2A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6241562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963DBD8" w14:textId="6D344361" w:rsidR="0029715B" w:rsidRPr="0002248A" w:rsidRDefault="0029715B" w:rsidP="0002248A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D54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D542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542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54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B6900" w14:paraId="03A3F42F" w14:textId="77777777" w:rsidTr="00022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5B740" w14:textId="77777777" w:rsidR="001C4334" w:rsidRPr="00EC6FDA" w:rsidRDefault="001C4334" w:rsidP="001C4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15B" w:rsidRPr="003B6900" w14:paraId="1F5BD72D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3DB720F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4B39220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9A5F4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0F602A54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  <w:vAlign w:val="center"/>
          </w:tcPr>
          <w:p w14:paraId="7744A431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73F07C4F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215A9811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2B8878ED" w14:textId="729D1692" w:rsidR="00EB4EC3" w:rsidRDefault="009C34AD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1F96D223" w14:textId="440D6017" w:rsidR="009C34AD" w:rsidRPr="00FB41F3" w:rsidRDefault="00FB41F3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732E1"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11h15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0732E1"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ại P.206/92A-LTN: Họp Ban chỉ đạo phòng chống Covid-19. Mời c.Hà, a. Tám (HCTC) dự</w:t>
            </w:r>
          </w:p>
        </w:tc>
        <w:tc>
          <w:tcPr>
            <w:tcW w:w="4178" w:type="dxa"/>
          </w:tcPr>
          <w:p w14:paraId="78085D4E" w14:textId="0AD1A244" w:rsidR="00197407" w:rsidRPr="00530BF5" w:rsidRDefault="00FB41F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5h30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ại P.206/92A-LTN: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giao ban BGH</w:t>
            </w:r>
          </w:p>
        </w:tc>
      </w:tr>
      <w:tr w:rsidR="00EB4EC3" w:rsidRPr="00151D40" w14:paraId="51ADF40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6BDDD004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37822A41" w14:textId="0496C108" w:rsidR="00EB4EC3" w:rsidRDefault="009D5BC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9C34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525678C6" w14:textId="07BC90CF" w:rsidR="009C34AD" w:rsidRPr="00530BF5" w:rsidRDefault="00F8021A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802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11h tại P.206/ LTN: Họp rút kinh nghiệm trong công tác tiếp thị tuyển sinh năm học 2020-2021. TP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F802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BGH (a. Trường); P. ĐT&amp;QLSV (c. Trang, c. Nga, c. Hằng); P.HCTC (a. Long, c. Hà, c. Thủy); Khoa CB (c. Thủy); Ban TTHH (a. Minh); Ban HTDN (c. Phương). 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802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Thủy (P.HCTC) chuẩn bị các số liệu liên quan đến tư vấn tuyển sinh qua các kênh fb, điện thoại, tin nhắn. 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802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Minh chuẩn bị các số liệu liên quan tư vấn đến  trực tiếp các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để báo cáo.</w:t>
            </w:r>
          </w:p>
        </w:tc>
        <w:tc>
          <w:tcPr>
            <w:tcW w:w="4178" w:type="dxa"/>
          </w:tcPr>
          <w:p w14:paraId="5A643765" w14:textId="7CCE26AB" w:rsidR="00BC604B" w:rsidRPr="00530BF5" w:rsidRDefault="00BC604B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4B461E" w:rsidRPr="003B6900" w14:paraId="37FD5BDE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1976D429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EB5DDCA" w14:textId="77777777" w:rsidR="004B461E" w:rsidRPr="00143CE6" w:rsidRDefault="004B461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TƯ</w:t>
            </w:r>
          </w:p>
          <w:p w14:paraId="220A97BB" w14:textId="63B3C8F4" w:rsidR="004B461E" w:rsidRDefault="009D5BCA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9C34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0B6B9277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4E0DD728" w14:textId="4EFE3AA2" w:rsidR="008635B3" w:rsidRPr="00530BF5" w:rsidRDefault="008635B3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178" w:type="dxa"/>
          </w:tcPr>
          <w:p w14:paraId="62783104" w14:textId="5EED8140" w:rsidR="0010591C" w:rsidRPr="00530BF5" w:rsidRDefault="00FB41F3" w:rsidP="00FB41F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15h00 tại p.206/92A –LTN: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="009F3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(a.Hồng) chủ trì họp về kế hoạch viết và thẩm định bài giảng hệ Cao đẳng năm học 2020-2021. T</w:t>
            </w:r>
            <w:r w:rsidR="009F3189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: Chủ nhiệm và thư ký các khoa chuyên môn; Trưởng phòng ĐT&amp;QLSV.</w:t>
            </w:r>
          </w:p>
        </w:tc>
      </w:tr>
      <w:tr w:rsidR="00EB4EC3" w:rsidRPr="003B6900" w14:paraId="279BEC14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38509E86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90990B7" w14:textId="117B725C" w:rsidR="00EB4EC3" w:rsidRDefault="009D5BCA" w:rsidP="00836D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9C34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0AD1321A" w14:textId="77777777" w:rsidR="006E7800" w:rsidRDefault="006E7800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6A0CF5" w14:textId="77777777" w:rsidR="009C34AD" w:rsidRDefault="009C34AD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01BC01" w14:textId="2A7FD41E" w:rsidR="009C34AD" w:rsidRPr="00530BF5" w:rsidRDefault="009C34AD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</w:tcPr>
          <w:p w14:paraId="00967890" w14:textId="647B01C2" w:rsidR="00610F80" w:rsidRPr="00530BF5" w:rsidRDefault="009F3189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023475">
              <w:rPr>
                <w:rFonts w:ascii="Times New Roman" w:hAnsi="Times New Roman"/>
                <w:color w:val="000000"/>
                <w:sz w:val="24"/>
                <w:szCs w:val="24"/>
              </w:rPr>
              <w:t>15h00 tại P.206/92A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–LTN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BGH (a. Kiểm) họp với phòng HCTC và TCKT về công tác chuẩn bị đưa vào sử dụng phần mềm Quản lý nhân sự.</w:t>
            </w:r>
          </w:p>
        </w:tc>
      </w:tr>
      <w:tr w:rsidR="00EB4EC3" w:rsidRPr="00AC325B" w14:paraId="178E6358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1241460C" w14:textId="77777777" w:rsidR="00EB4EC3" w:rsidRPr="00720FFA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A22BF58" w14:textId="32C9CF58" w:rsidR="00EB4EC3" w:rsidRPr="00720FFA" w:rsidRDefault="009D5BCA" w:rsidP="00FB41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9C34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02136EE9" w14:textId="24DCA8DA" w:rsidR="00374C63" w:rsidRPr="000425BA" w:rsidRDefault="000425BA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425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10h00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0425BA">
              <w:rPr>
                <w:rFonts w:ascii="Times New Roman" w:hAnsi="Times New Roman"/>
                <w:color w:val="000000"/>
                <w:sz w:val="24"/>
                <w:szCs w:val="24"/>
              </w:rPr>
              <w:t>ại P.206/92A-LTN: Nghi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ệm</w:t>
            </w:r>
            <w:r w:rsidRPr="000425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thu ba đề tài NCKH cấp trường: 2019-2020: App Mobile… (a. Đức), 2019-2020 Thiết kế xe sinh thái…(a. Dũng), 2017-2018: Xây dựng Clip bài giảng thực hành môn học Tạo hình 2D (c.Ánh) TP: Ban KHCN, CN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các</w:t>
            </w:r>
            <w:r w:rsidRPr="000425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0425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Cơ khí, CNTT và các ban chủ nhiệm đề tài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14:paraId="3E928F40" w14:textId="49BE3372" w:rsidR="00EB4EC3" w:rsidRPr="00530BF5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836DD1" w14:paraId="01D3393A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4C85F053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9617353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A920275" w14:textId="1A90687C" w:rsidR="00EB4EC3" w:rsidRPr="00836DD1" w:rsidRDefault="009C34AD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31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0E750B0A" w14:textId="04E2E6AE" w:rsidR="009C34AD" w:rsidRPr="00023475" w:rsidRDefault="00FB41F3" w:rsidP="0002347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425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263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0234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>0 tại</w:t>
            </w:r>
            <w:r w:rsidR="00023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</w:t>
            </w:r>
            <w:r w:rsidR="00023475" w:rsidRPr="000425BA">
              <w:rPr>
                <w:rFonts w:ascii="Times New Roman" w:hAnsi="Times New Roman"/>
                <w:color w:val="000000"/>
                <w:sz w:val="24"/>
                <w:szCs w:val="24"/>
              </w:rPr>
              <w:t>ại P.20</w:t>
            </w:r>
            <w:r w:rsidR="00023475">
              <w:rPr>
                <w:rFonts w:ascii="Times New Roman" w:hAnsi="Times New Roman"/>
                <w:color w:val="000000"/>
                <w:sz w:val="24"/>
                <w:szCs w:val="24"/>
              </w:rPr>
              <w:t>3/15A-TQB</w:t>
            </w:r>
            <w:r w:rsidRPr="00FB4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023475">
              <w:rPr>
                <w:rFonts w:ascii="Times New Roman" w:hAnsi="Times New Roman"/>
                <w:color w:val="000000"/>
                <w:sz w:val="24"/>
                <w:szCs w:val="24"/>
              </w:rPr>
              <w:t>a. X. Việt giảng thử trước khi tham gia hội giảng thành phố. Tp: BGH (a. Bình), P.HCTC (a. Phong), P.ĐT &amp; QLSV (a Vẻ), a. Đức (ĐHBK)  &amp; các GV Khoa ĐTVT.</w:t>
            </w:r>
          </w:p>
        </w:tc>
        <w:tc>
          <w:tcPr>
            <w:tcW w:w="4178" w:type="dxa"/>
          </w:tcPr>
          <w:p w14:paraId="3B352B84" w14:textId="76C042BF" w:rsidR="00EB4EC3" w:rsidRPr="00530BF5" w:rsidRDefault="00EB4EC3" w:rsidP="00EB4EC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EB4EC3" w:rsidRPr="00D54CD8" w14:paraId="7727AD3C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F472A7B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835844F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8218A18" w14:textId="33167D1A" w:rsidR="00EB4EC3" w:rsidRDefault="009C34AD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9F31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21F42B13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F76302E" w14:textId="755F6532" w:rsidR="009C34AD" w:rsidRPr="00D54CD8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24233EA9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82DE0D1" w14:textId="5969AD53" w:rsidR="001437E6" w:rsidRPr="0002248A" w:rsidRDefault="000732E1" w:rsidP="0002248A">
      <w:pPr>
        <w:rPr>
          <w:rFonts w:ascii="Times New Roman" w:hAnsi="Times New Roman"/>
          <w:sz w:val="24"/>
          <w:szCs w:val="24"/>
          <w:lang w:val="pt-BR"/>
        </w:rPr>
      </w:pPr>
      <w:r w:rsidRPr="0002248A">
        <w:rPr>
          <w:rFonts w:ascii="Times New Roman" w:hAnsi="Times New Roman"/>
          <w:color w:val="000000"/>
          <w:sz w:val="24"/>
          <w:szCs w:val="24"/>
        </w:rPr>
        <w:t>Nhắc việc: Phòng nước GV tầng 2/15A</w:t>
      </w:r>
      <w:r w:rsidR="0002248A">
        <w:rPr>
          <w:rFonts w:ascii="Times New Roman" w:hAnsi="Times New Roman"/>
          <w:color w:val="000000"/>
          <w:sz w:val="24"/>
          <w:szCs w:val="24"/>
        </w:rPr>
        <w:t>-</w:t>
      </w:r>
      <w:r w:rsidRPr="0002248A">
        <w:rPr>
          <w:rFonts w:ascii="Times New Roman" w:hAnsi="Times New Roman"/>
          <w:color w:val="000000"/>
          <w:sz w:val="24"/>
          <w:szCs w:val="24"/>
        </w:rPr>
        <w:t xml:space="preserve"> TQB được mở cửa thường ngày. Các GV phối hợp với Tổ bảo vệ tự quản, chú ý phần điện nước, đặc biệt tắt điện khi không có người sử dụng.</w:t>
      </w:r>
    </w:p>
    <w:sectPr w:rsidR="001437E6" w:rsidRPr="0002248A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23475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32E1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886"/>
    <w:rsid w:val="00345C80"/>
    <w:rsid w:val="0035507B"/>
    <w:rsid w:val="003560DE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824"/>
    <w:rsid w:val="003F5C32"/>
    <w:rsid w:val="0040194E"/>
    <w:rsid w:val="004065E6"/>
    <w:rsid w:val="004137F8"/>
    <w:rsid w:val="00416E8A"/>
    <w:rsid w:val="00420EA4"/>
    <w:rsid w:val="00421197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3B7E"/>
    <w:rsid w:val="007048C9"/>
    <w:rsid w:val="00704A7D"/>
    <w:rsid w:val="007050A2"/>
    <w:rsid w:val="00706C7D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59F"/>
    <w:rsid w:val="007417A7"/>
    <w:rsid w:val="00741D47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F3189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0D3D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0886"/>
    <w:rsid w:val="00EF2EA9"/>
    <w:rsid w:val="00EF734F"/>
    <w:rsid w:val="00F00DFC"/>
    <w:rsid w:val="00F02636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07A"/>
    <w:rsid w:val="00F801B5"/>
    <w:rsid w:val="00F8021A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4CF1"/>
  <w15:docId w15:val="{17CA30D8-DB8D-428E-846F-8199757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FEFB-8BF3-4EE6-935B-DCAABE3E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Pham Thuy</cp:lastModifiedBy>
  <cp:revision>3</cp:revision>
  <cp:lastPrinted>2019-09-12T07:34:00Z</cp:lastPrinted>
  <dcterms:created xsi:type="dcterms:W3CDTF">2020-10-26T01:45:00Z</dcterms:created>
  <dcterms:modified xsi:type="dcterms:W3CDTF">2020-10-26T01:50:00Z</dcterms:modified>
</cp:coreProperties>
</file>